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E" w:rsidRPr="00C3539E" w:rsidRDefault="00C3539E" w:rsidP="00C3539E">
      <w:pPr>
        <w:shd w:val="clear" w:color="auto" w:fill="FFFFFF"/>
        <w:spacing w:after="0" w:line="600" w:lineRule="atLeast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53"/>
          <w:szCs w:val="53"/>
          <w:lang w:eastAsia="fr-FR"/>
        </w:rPr>
      </w:pPr>
      <w:r w:rsidRPr="00C3539E">
        <w:rPr>
          <w:rFonts w:ascii="inherit" w:eastAsia="Times New Roman" w:hAnsi="inherit" w:cs="Arial"/>
          <w:color w:val="111111"/>
          <w:kern w:val="36"/>
          <w:sz w:val="53"/>
          <w:szCs w:val="53"/>
          <w:bdr w:val="none" w:sz="0" w:space="0" w:color="auto" w:frame="1"/>
          <w:lang w:eastAsia="fr-FR"/>
        </w:rPr>
        <w:t>Technique des pailles et « </w:t>
      </w:r>
      <w:proofErr w:type="spellStart"/>
      <w:r w:rsidRPr="00C3539E">
        <w:rPr>
          <w:rFonts w:ascii="inherit" w:eastAsia="Times New Roman" w:hAnsi="inherit" w:cs="Arial"/>
          <w:color w:val="111111"/>
          <w:kern w:val="36"/>
          <w:sz w:val="53"/>
          <w:szCs w:val="53"/>
          <w:bdr w:val="none" w:sz="0" w:space="0" w:color="auto" w:frame="1"/>
          <w:lang w:eastAsia="fr-FR"/>
        </w:rPr>
        <w:t>détaupeurs</w:t>
      </w:r>
      <w:proofErr w:type="spellEnd"/>
      <w:r w:rsidRPr="00C3539E">
        <w:rPr>
          <w:rFonts w:ascii="inherit" w:eastAsia="Times New Roman" w:hAnsi="inherit" w:cs="Arial"/>
          <w:color w:val="111111"/>
          <w:kern w:val="36"/>
          <w:sz w:val="53"/>
          <w:szCs w:val="53"/>
          <w:bdr w:val="none" w:sz="0" w:space="0" w:color="auto" w:frame="1"/>
          <w:lang w:eastAsia="fr-FR"/>
        </w:rPr>
        <w:t> »</w:t>
      </w:r>
    </w:p>
    <w:p w:rsidR="00C3539E" w:rsidRPr="00C3539E" w:rsidRDefault="00C3539E" w:rsidP="00C3539E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noProof/>
          <w:color w:val="555555"/>
          <w:sz w:val="18"/>
          <w:szCs w:val="18"/>
          <w:lang w:eastAsia="fr-FR"/>
        </w:rPr>
        <w:drawing>
          <wp:inline distT="0" distB="0" distL="0" distR="0" wp14:anchorId="1E14EE4A" wp14:editId="240655CA">
            <wp:extent cx="6667500" cy="3095625"/>
            <wp:effectExtent l="0" t="0" r="0" b="9525"/>
            <wp:docPr id="1" name="Image 1" descr="Technique des pailles et « détaupeur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que des pailles et « détaupeurs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La technique des pailles consiste à confectionner des tubes contenant de la poudre pour armes BA10 (poudre sans fumée, à base de nitrocellulose) et un dispositif de mise à feu électrique (résistance en contact avec la poudre). Une paille, d’une longueur de 23 cm, contient typiquement 8,3 grammes de poudre.</w:t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La paille se place dans un trou de diamètre 10 mm X 400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mm.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Un bourrage, par exemple avec du papier humide, est obligatoire afin d’obtenir l’explosion et non la combustion. La mise en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oeuvre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prend donc du temps comparé au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microblasting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où le bourrage est plutôt inutile.</w:t>
      </w:r>
    </w:p>
    <w:p w:rsidR="00C3539E" w:rsidRPr="00C3539E" w:rsidRDefault="00C3539E" w:rsidP="00C3539E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noProof/>
          <w:color w:val="333333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4E847957" wp14:editId="4B2FD97E">
            <wp:extent cx="476250" cy="714375"/>
            <wp:effectExtent l="0" t="0" r="0" b="9525"/>
            <wp:docPr id="2" name="Image 2" descr="IMGP0837.PEF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837.PEF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E" w:rsidRPr="00C3539E" w:rsidRDefault="00C3539E" w:rsidP="00C3539E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noProof/>
          <w:color w:val="333333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701972D9" wp14:editId="1B57E8AB">
            <wp:extent cx="952500" cy="628650"/>
            <wp:effectExtent l="0" t="0" r="0" b="0"/>
            <wp:docPr id="3" name="Image 3" descr="IMGP0845.PEF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0845.PEF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Une démonstration a montré que cette technique produit des blocs plutôt que la caillasse des explosifs brisants comme la penthrite. La mise à feu de ces paille par l’échauffement d’une résistance, a échoué avec un exploseur HU, de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part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la trop forte puissance instantanée. Elle a ensuite réussi sans soucis avec un accu de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perfo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, la technique usuelle d’allumage (?).</w:t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La technique des pailles produit du CO, un gaz toxique. Cette production a été mesurée à 1500 ppm*m3/paille. La concentration de CO est de 1500 ppm après explosion dans un volume de dissolution de 1 m3. D’autres gaz toxiques sont probablement aussi produits.</w:t>
      </w:r>
    </w:p>
    <w:p w:rsidR="00C3539E" w:rsidRPr="00C3539E" w:rsidRDefault="00C3539E" w:rsidP="00C353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Cette technique est évidemment </w:t>
      </w:r>
      <w:r w:rsidRPr="00C3539E">
        <w:rPr>
          <w:rFonts w:ascii="inherit" w:eastAsia="Times New Roman" w:hAnsi="inherit" w:cs="Arial"/>
          <w:color w:val="555555"/>
          <w:sz w:val="18"/>
          <w:szCs w:val="18"/>
          <w:u w:val="single"/>
          <w:bdr w:val="none" w:sz="0" w:space="0" w:color="auto" w:frame="1"/>
          <w:lang w:eastAsia="fr-FR"/>
        </w:rPr>
        <w:t>illégale</w:t>
      </w: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 et je ne l’ai jamais utilisée.</w:t>
      </w:r>
    </w:p>
    <w:p w:rsidR="00C3539E" w:rsidRPr="00C3539E" w:rsidRDefault="00C3539E" w:rsidP="00C353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b/>
          <w:bCs/>
          <w:color w:val="555555"/>
          <w:sz w:val="18"/>
          <w:szCs w:val="18"/>
          <w:u w:val="single"/>
          <w:bdr w:val="none" w:sz="0" w:space="0" w:color="auto" w:frame="1"/>
          <w:lang w:eastAsia="fr-FR"/>
        </w:rPr>
        <w:t>Alternative</w:t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Une alternative consiste à détourner des « 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détaupeurs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 » comme ceux de la marque ERADIC.</w:t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Les « 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détaupeurs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 » se placent dans des trous de 10 mm de diamètre et d’une longueur de 35 cm. Comme ci-dessus pour les pailles, Il est nécessaire de bourrer le trou. Il est conseillé d’utiliser de la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plasticine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(pâte à modeler), bourrée avec une tige en bois de 9 mm de diamètre.</w:t>
      </w:r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lastRenderedPageBreak/>
        <w:t>Les « 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détaupeurs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 » peuvent être amorcés avec une pile de 4,5 Volts. </w:t>
      </w:r>
      <w:proofErr w:type="gram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ils</w:t>
      </w:r>
      <w:proofErr w:type="gram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 xml:space="preserve"> sont donc très sensibles (équivalent à des amorces A ?), ce qui induit un risque important de mise à feu involontaire.</w:t>
      </w:r>
    </w:p>
    <w:p w:rsidR="00C3539E" w:rsidRPr="00C3539E" w:rsidRDefault="00C3539E" w:rsidP="00C3539E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noProof/>
          <w:color w:val="333333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 wp14:anchorId="63237FA9" wp14:editId="63E55314">
            <wp:extent cx="4762500" cy="3571875"/>
            <wp:effectExtent l="0" t="0" r="0" b="9525"/>
            <wp:docPr id="4" name="Image 4" descr="48012-recharge-pour-detaupeur">
              <a:hlinkClick xmlns:a="http://schemas.openxmlformats.org/drawingml/2006/main" r:id="rId11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012-recharge-pour-detaupeur">
                      <a:hlinkClick r:id="rId11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E" w:rsidRPr="00C3539E" w:rsidRDefault="00C3539E" w:rsidP="00C353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Spécifications de la charge du « 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détaupeur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 » :</w:t>
      </w: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br/>
        <w:t xml:space="preserve">· Diamètre du pétard : 8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mm.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br/>
        <w:t xml:space="preserve">· Diamètre de l’opercule : 10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mm.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br/>
        <w:t xml:space="preserve">· Longueur du pétard : 35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mm.</w:t>
      </w:r>
      <w:proofErr w:type="spellEnd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br/>
        <w:t xml:space="preserve">· Longueur des fils : 300 </w:t>
      </w:r>
      <w:proofErr w:type="spellStart"/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mm.</w:t>
      </w:r>
      <w:proofErr w:type="spellEnd"/>
    </w:p>
    <w:p w:rsidR="00C3539E" w:rsidRPr="00C3539E" w:rsidRDefault="00C3539E" w:rsidP="00C3539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Arial" w:eastAsia="Times New Roman" w:hAnsi="Arial" w:cs="Arial"/>
          <w:color w:val="555555"/>
          <w:sz w:val="18"/>
          <w:szCs w:val="18"/>
          <w:lang w:eastAsia="fr-FR"/>
        </w:rPr>
        <w:t>Cette technique est aussi illégale.</w:t>
      </w:r>
    </w:p>
    <w:p w:rsidR="00C3539E" w:rsidRPr="00C3539E" w:rsidRDefault="00C3539E" w:rsidP="00C3539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b/>
          <w:bCs/>
          <w:color w:val="555555"/>
          <w:sz w:val="18"/>
          <w:szCs w:val="18"/>
          <w:u w:val="single"/>
          <w:bdr w:val="none" w:sz="0" w:space="0" w:color="auto" w:frame="1"/>
          <w:lang w:eastAsia="fr-FR"/>
        </w:rPr>
        <w:t>Bibliographie :</w:t>
      </w:r>
    </w:p>
    <w:p w:rsidR="00C3539E" w:rsidRPr="00C3539E" w:rsidRDefault="00C3539E" w:rsidP="00C3539E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>« La technique des « pailles » en désobstruction spéléo », non publié.</w:t>
      </w:r>
    </w:p>
    <w:p w:rsidR="00C3539E" w:rsidRPr="00C3539E" w:rsidRDefault="00C3539E" w:rsidP="00C3539E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« Désobstruction à la “paille” », Nathan </w:t>
      </w:r>
      <w:proofErr w:type="spellStart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>Boinet</w:t>
      </w:r>
      <w:proofErr w:type="spellEnd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, Spéléo </w:t>
      </w:r>
      <w:proofErr w:type="spellStart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>mag</w:t>
      </w:r>
      <w:proofErr w:type="spellEnd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 N° 57, juin 2007.</w:t>
      </w:r>
    </w:p>
    <w:p w:rsidR="00C3539E" w:rsidRPr="00C3539E" w:rsidRDefault="00C3539E" w:rsidP="00C3539E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fr-FR"/>
        </w:rPr>
      </w:pPr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« La cartouche Hilti en </w:t>
      </w:r>
      <w:proofErr w:type="spellStart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>désob</w:t>
      </w:r>
      <w:proofErr w:type="spellEnd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 ? Evolution ! Pétardez en toute se </w:t>
      </w:r>
      <w:proofErr w:type="spellStart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>curite</w:t>
      </w:r>
      <w:proofErr w:type="spellEnd"/>
      <w:r w:rsidRPr="00C3539E">
        <w:rPr>
          <w:rFonts w:ascii="inherit" w:eastAsia="Times New Roman" w:hAnsi="inherit" w:cs="Arial"/>
          <w:color w:val="555555"/>
          <w:sz w:val="18"/>
          <w:szCs w:val="18"/>
          <w:lang w:eastAsia="fr-FR"/>
        </w:rPr>
        <w:t xml:space="preserve"> ! », Joël Fontenelle.</w:t>
      </w:r>
    </w:p>
    <w:p w:rsidR="004E606D" w:rsidRDefault="004E606D">
      <w:bookmarkStart w:id="0" w:name="_GoBack"/>
      <w:bookmarkEnd w:id="0"/>
    </w:p>
    <w:sectPr w:rsidR="004E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C8B"/>
    <w:multiLevelType w:val="multilevel"/>
    <w:tmpl w:val="6CF4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E"/>
    <w:rsid w:val="004E606D"/>
    <w:rsid w:val="005F0CC7"/>
    <w:rsid w:val="00C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0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5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4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335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demierre.speleologie.ch/wp-content/gallery/technique-des-pailles/IMGP0837.PEF_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emierre.speleologie.ch/wp-content/gallery/detaupeur/48012-recharge-pour-detaupeur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demierre.speleologie.ch/wp-content/gallery/technique-des-pailles/IMGP0845.PEF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yves-marie</dc:creator>
  <cp:lastModifiedBy>yves-marie</cp:lastModifiedBy>
  <cp:revision>2</cp:revision>
  <dcterms:created xsi:type="dcterms:W3CDTF">2015-03-04T14:32:00Z</dcterms:created>
  <dcterms:modified xsi:type="dcterms:W3CDTF">2015-03-06T10:12:00Z</dcterms:modified>
</cp:coreProperties>
</file>